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EE66" w14:textId="20913BCE" w:rsidR="00E52AA5" w:rsidRPr="007B281C" w:rsidRDefault="00E52AA5" w:rsidP="00E52AA5">
      <w:pPr>
        <w:rPr>
          <w:rFonts w:ascii="Arial" w:hAnsi="Arial" w:cs="Arial"/>
          <w:b/>
          <w:sz w:val="28"/>
          <w:szCs w:val="28"/>
        </w:rPr>
      </w:pPr>
      <w:r w:rsidRPr="007B281C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3</w:t>
      </w:r>
      <w:r w:rsidRPr="007B281C">
        <w:rPr>
          <w:rFonts w:ascii="Arial" w:hAnsi="Arial" w:cs="Arial"/>
          <w:b/>
          <w:sz w:val="28"/>
          <w:szCs w:val="28"/>
        </w:rPr>
        <w:t xml:space="preserve"> Volume Issue </w:t>
      </w:r>
      <w:r w:rsidR="00805993">
        <w:rPr>
          <w:rFonts w:ascii="Arial" w:hAnsi="Arial" w:cs="Arial"/>
          <w:b/>
          <w:sz w:val="28"/>
          <w:szCs w:val="28"/>
        </w:rPr>
        <w:t>3</w:t>
      </w:r>
    </w:p>
    <w:p w14:paraId="2CF07A79" w14:textId="582950F9" w:rsidR="00E52AA5" w:rsidRPr="007B281C" w:rsidRDefault="00805993" w:rsidP="00E52A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</w:t>
      </w:r>
      <w:r w:rsidR="00E52AA5">
        <w:rPr>
          <w:rFonts w:ascii="Arial" w:hAnsi="Arial" w:cs="Arial"/>
          <w:b/>
          <w:sz w:val="28"/>
          <w:szCs w:val="28"/>
        </w:rPr>
        <w:t xml:space="preserve">ember </w:t>
      </w:r>
      <w:r w:rsidR="00685557">
        <w:rPr>
          <w:rFonts w:ascii="Arial" w:hAnsi="Arial" w:cs="Arial"/>
          <w:b/>
          <w:sz w:val="28"/>
          <w:szCs w:val="28"/>
        </w:rPr>
        <w:t>5</w:t>
      </w:r>
      <w:r w:rsidR="00E52AA5" w:rsidRPr="007B281C">
        <w:rPr>
          <w:rFonts w:ascii="Arial" w:hAnsi="Arial" w:cs="Arial"/>
          <w:b/>
          <w:sz w:val="28"/>
          <w:szCs w:val="28"/>
        </w:rPr>
        <w:t>, 202</w:t>
      </w:r>
      <w:r w:rsidR="00E52AA5">
        <w:rPr>
          <w:rFonts w:ascii="Arial" w:hAnsi="Arial" w:cs="Arial"/>
          <w:b/>
          <w:sz w:val="28"/>
          <w:szCs w:val="28"/>
        </w:rPr>
        <w:t>3</w:t>
      </w:r>
    </w:p>
    <w:p w14:paraId="20974F5F" w14:textId="77777777" w:rsidR="00E52AA5" w:rsidRPr="00E47FCE" w:rsidRDefault="00E52AA5" w:rsidP="00E52AA5">
      <w:pPr>
        <w:rPr>
          <w:rFonts w:ascii="Arial" w:hAnsi="Arial" w:cs="Arial"/>
          <w:b/>
          <w:i/>
          <w:sz w:val="24"/>
          <w:szCs w:val="24"/>
        </w:rPr>
      </w:pPr>
      <w:r w:rsidRPr="00E47FCE">
        <w:rPr>
          <w:rFonts w:ascii="Arial" w:hAnsi="Arial" w:cs="Arial"/>
          <w:b/>
          <w:i/>
          <w:sz w:val="24"/>
          <w:szCs w:val="24"/>
        </w:rPr>
        <w:t>New Economic Paradigm Associates – Since August 2003</w:t>
      </w:r>
    </w:p>
    <w:p w14:paraId="67CCBA10" w14:textId="77777777" w:rsidR="00E52AA5" w:rsidRPr="007B281C" w:rsidRDefault="00E52AA5" w:rsidP="00E52AA5">
      <w:pPr>
        <w:rPr>
          <w:rFonts w:ascii="Arial" w:hAnsi="Arial" w:cs="Arial"/>
          <w:b/>
          <w:sz w:val="28"/>
          <w:szCs w:val="28"/>
        </w:rPr>
      </w:pPr>
      <w:r w:rsidRPr="007B281C">
        <w:rPr>
          <w:rFonts w:ascii="Arial" w:hAnsi="Arial" w:cs="Arial"/>
          <w:b/>
          <w:sz w:val="28"/>
          <w:szCs w:val="28"/>
        </w:rPr>
        <w:t>Editor</w:t>
      </w:r>
      <w:r>
        <w:rPr>
          <w:rFonts w:ascii="Arial" w:hAnsi="Arial" w:cs="Arial"/>
          <w:b/>
          <w:sz w:val="28"/>
          <w:szCs w:val="28"/>
        </w:rPr>
        <w:br/>
      </w:r>
      <w:r w:rsidRPr="007B281C">
        <w:rPr>
          <w:rFonts w:ascii="Arial" w:hAnsi="Arial" w:cs="Arial"/>
          <w:b/>
          <w:sz w:val="28"/>
          <w:szCs w:val="28"/>
        </w:rPr>
        <w:t xml:space="preserve">Donald R. Byrne, Ph.D. </w:t>
      </w:r>
      <w:r>
        <w:rPr>
          <w:rFonts w:ascii="Arial" w:hAnsi="Arial" w:cs="Arial"/>
          <w:b/>
          <w:sz w:val="28"/>
          <w:szCs w:val="28"/>
        </w:rPr>
        <w:br/>
      </w:r>
      <w:r w:rsidRPr="007B281C">
        <w:rPr>
          <w:rFonts w:ascii="Arial" w:hAnsi="Arial" w:cs="Arial"/>
          <w:b/>
          <w:sz w:val="28"/>
          <w:szCs w:val="28"/>
        </w:rPr>
        <w:t>(1932-2018)</w:t>
      </w:r>
    </w:p>
    <w:p w14:paraId="340AEDC0" w14:textId="77777777" w:rsidR="00E52AA5" w:rsidRPr="007B281C" w:rsidRDefault="00E52AA5" w:rsidP="00E52AA5">
      <w:pPr>
        <w:rPr>
          <w:rFonts w:ascii="Arial" w:hAnsi="Arial" w:cs="Arial"/>
          <w:b/>
          <w:sz w:val="28"/>
          <w:szCs w:val="28"/>
        </w:rPr>
      </w:pPr>
      <w:r w:rsidRPr="007B281C">
        <w:rPr>
          <w:rFonts w:ascii="Arial" w:hAnsi="Arial" w:cs="Arial"/>
          <w:b/>
          <w:sz w:val="28"/>
          <w:szCs w:val="28"/>
        </w:rPr>
        <w:br/>
        <w:t xml:space="preserve">Associate Editor </w:t>
      </w:r>
      <w:r>
        <w:rPr>
          <w:rFonts w:ascii="Arial" w:hAnsi="Arial" w:cs="Arial"/>
          <w:b/>
          <w:sz w:val="28"/>
          <w:szCs w:val="28"/>
        </w:rPr>
        <w:br/>
      </w:r>
      <w:r w:rsidRPr="007B281C">
        <w:rPr>
          <w:rFonts w:ascii="Arial" w:hAnsi="Arial" w:cs="Arial"/>
          <w:b/>
          <w:sz w:val="28"/>
          <w:szCs w:val="28"/>
        </w:rPr>
        <w:t>Edward T. Derbin, MA, MBA</w:t>
      </w:r>
      <w:r>
        <w:rPr>
          <w:rFonts w:ascii="Arial" w:hAnsi="Arial" w:cs="Arial"/>
          <w:b/>
          <w:sz w:val="28"/>
          <w:szCs w:val="28"/>
        </w:rPr>
        <w:br/>
      </w:r>
      <w:r w:rsidRPr="007B281C">
        <w:rPr>
          <w:rFonts w:ascii="Arial" w:hAnsi="Arial" w:cs="Arial"/>
          <w:b/>
          <w:sz w:val="28"/>
          <w:szCs w:val="28"/>
        </w:rPr>
        <w:t>edtitan@aol.com</w:t>
      </w:r>
    </w:p>
    <w:p w14:paraId="224FB4D8" w14:textId="77777777" w:rsidR="00E52AA5" w:rsidRPr="007B281C" w:rsidRDefault="00E52AA5" w:rsidP="00E52AA5">
      <w:pPr>
        <w:rPr>
          <w:rFonts w:ascii="Arial" w:hAnsi="Arial" w:cs="Arial"/>
          <w:b/>
          <w:sz w:val="28"/>
          <w:szCs w:val="28"/>
        </w:rPr>
      </w:pPr>
    </w:p>
    <w:p w14:paraId="66D990FE" w14:textId="6444C927" w:rsidR="00E52AA5" w:rsidRDefault="00805993" w:rsidP="00E52AA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FED and its </w:t>
      </w:r>
      <w:r w:rsidR="00067DE4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ffect on Labor in October 2023</w:t>
      </w:r>
    </w:p>
    <w:p w14:paraId="383D559C" w14:textId="77777777" w:rsidR="00805993" w:rsidRDefault="00805993" w:rsidP="00805993">
      <w:pPr>
        <w:rPr>
          <w:sz w:val="28"/>
          <w:szCs w:val="28"/>
        </w:rPr>
      </w:pPr>
    </w:p>
    <w:p w14:paraId="240A1EE2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Just a bit of an update focusing on yesterday's Employment Situation Report…there is more to follow, but </w:t>
      </w:r>
      <w:proofErr w:type="gramStart"/>
      <w:r w:rsidRPr="00C24D1A">
        <w:rPr>
          <w:sz w:val="28"/>
          <w:szCs w:val="28"/>
        </w:rPr>
        <w:t>at a later date</w:t>
      </w:r>
      <w:proofErr w:type="gramEnd"/>
      <w:r w:rsidRPr="00C24D1A">
        <w:rPr>
          <w:sz w:val="28"/>
          <w:szCs w:val="28"/>
        </w:rPr>
        <w:t>.</w:t>
      </w:r>
    </w:p>
    <w:p w14:paraId="334F9C71" w14:textId="118ACF13" w:rsidR="00805993" w:rsidRPr="00C24D1A" w:rsidRDefault="00805993" w:rsidP="00805993">
      <w:pPr>
        <w:rPr>
          <w:sz w:val="28"/>
          <w:szCs w:val="28"/>
        </w:rPr>
      </w:pPr>
      <w:r>
        <w:rPr>
          <w:sz w:val="28"/>
          <w:szCs w:val="28"/>
        </w:rPr>
        <w:t>Why the positive reaction on Wall Street in terms stock prices – Dow Jones up 200+points and mortgage rates moderating, dropping below 8% on a 30-year fixed rate?</w:t>
      </w:r>
      <w:r w:rsidRPr="00C24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markets are betting that the </w:t>
      </w:r>
      <w:r w:rsidRPr="00C24D1A">
        <w:rPr>
          <w:sz w:val="28"/>
          <w:szCs w:val="28"/>
        </w:rPr>
        <w:t xml:space="preserve">FED </w:t>
      </w:r>
      <w:r>
        <w:rPr>
          <w:sz w:val="28"/>
          <w:szCs w:val="28"/>
        </w:rPr>
        <w:t>will</w:t>
      </w:r>
      <w:r w:rsidRPr="00C24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ease its position in terms of </w:t>
      </w:r>
      <w:r w:rsidRPr="00C24D1A">
        <w:rPr>
          <w:sz w:val="28"/>
          <w:szCs w:val="28"/>
        </w:rPr>
        <w:t xml:space="preserve">raising the target Fed Funds </w:t>
      </w:r>
      <w:r>
        <w:rPr>
          <w:sz w:val="28"/>
          <w:szCs w:val="28"/>
        </w:rPr>
        <w:t xml:space="preserve">going forward </w:t>
      </w:r>
      <w:r w:rsidR="00685557" w:rsidRPr="00C24D1A">
        <w:rPr>
          <w:sz w:val="28"/>
          <w:szCs w:val="28"/>
        </w:rPr>
        <w:t>due to</w:t>
      </w:r>
      <w:r w:rsidRPr="00C24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such things as this latest negative Employment Situation Report and the </w:t>
      </w:r>
      <w:r w:rsidRPr="00C24D1A">
        <w:rPr>
          <w:sz w:val="28"/>
          <w:szCs w:val="28"/>
        </w:rPr>
        <w:t xml:space="preserve">UAW strike, for </w:t>
      </w:r>
      <w:r>
        <w:rPr>
          <w:sz w:val="28"/>
          <w:szCs w:val="28"/>
        </w:rPr>
        <w:t>another</w:t>
      </w:r>
      <w:r w:rsidRPr="00C24D1A">
        <w:rPr>
          <w:sz w:val="28"/>
          <w:szCs w:val="28"/>
        </w:rPr>
        <w:t xml:space="preserve">.  There are many more factors involved, including – especially, the reality that the FOMC has a track record of overdoing it and has nudged (I am being kind) us into recessions in the past.  </w:t>
      </w:r>
      <w:r w:rsidRPr="00C24D1A">
        <w:rPr>
          <w:sz w:val="28"/>
          <w:szCs w:val="28"/>
        </w:rPr>
        <w:br/>
      </w:r>
      <w:r w:rsidRPr="00C24D1A">
        <w:rPr>
          <w:sz w:val="28"/>
          <w:szCs w:val="28"/>
        </w:rPr>
        <w:br/>
      </w:r>
      <w:r>
        <w:rPr>
          <w:sz w:val="28"/>
          <w:szCs w:val="28"/>
        </w:rPr>
        <w:t>Speaking of labor, s</w:t>
      </w:r>
      <w:r w:rsidRPr="00C24D1A">
        <w:rPr>
          <w:sz w:val="28"/>
          <w:szCs w:val="28"/>
        </w:rPr>
        <w:t xml:space="preserve">omething to keep in mind is that unionized labor constitutes an ever-shrinking portion of the labor </w:t>
      </w:r>
      <w:proofErr w:type="gramStart"/>
      <w:r w:rsidRPr="00C24D1A">
        <w:rPr>
          <w:sz w:val="28"/>
          <w:szCs w:val="28"/>
        </w:rPr>
        <w:t>market as a whole, so</w:t>
      </w:r>
      <w:proofErr w:type="gramEnd"/>
      <w:r w:rsidRPr="00C24D1A">
        <w:rPr>
          <w:sz w:val="28"/>
          <w:szCs w:val="28"/>
        </w:rPr>
        <w:t xml:space="preserve"> the fear of significant (further) wage inflation is really </w:t>
      </w:r>
      <w:r>
        <w:rPr>
          <w:sz w:val="28"/>
          <w:szCs w:val="28"/>
        </w:rPr>
        <w:t>un</w:t>
      </w:r>
      <w:r w:rsidRPr="00C24D1A">
        <w:rPr>
          <w:sz w:val="28"/>
          <w:szCs w:val="28"/>
        </w:rPr>
        <w:t>founded</w:t>
      </w:r>
      <w:r>
        <w:rPr>
          <w:sz w:val="28"/>
          <w:szCs w:val="28"/>
        </w:rPr>
        <w:t xml:space="preserve"> at this point</w:t>
      </w:r>
      <w:r w:rsidRPr="00C24D1A">
        <w:rPr>
          <w:sz w:val="28"/>
          <w:szCs w:val="28"/>
        </w:rPr>
        <w:t xml:space="preserve">. </w:t>
      </w:r>
    </w:p>
    <w:p w14:paraId="10317AD0" w14:textId="77777777" w:rsidR="00805993" w:rsidRPr="00C24D1A" w:rsidRDefault="00000000" w:rsidP="00805993">
      <w:pPr>
        <w:rPr>
          <w:sz w:val="28"/>
          <w:szCs w:val="28"/>
        </w:rPr>
      </w:pPr>
      <w:hyperlink r:id="rId6" w:history="1">
        <w:r w:rsidR="00805993" w:rsidRPr="00C24D1A">
          <w:rPr>
            <w:rStyle w:val="Hyperlink"/>
            <w:sz w:val="28"/>
            <w:szCs w:val="28"/>
          </w:rPr>
          <w:t>https://www.bls.gov/opub/ted/2023/union-membership-rate-fell-by-0-2-percentage-point-to-10-1-percent-in-2022.htm</w:t>
        </w:r>
      </w:hyperlink>
    </w:p>
    <w:p w14:paraId="55413648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noProof/>
          <w:sz w:val="28"/>
          <w:szCs w:val="28"/>
        </w:rPr>
        <w:lastRenderedPageBreak/>
        <w:drawing>
          <wp:inline distT="0" distB="0" distL="0" distR="0" wp14:anchorId="121C2470" wp14:editId="5CAEA1EC">
            <wp:extent cx="4964433" cy="4365625"/>
            <wp:effectExtent l="0" t="0" r="7620" b="0"/>
            <wp:docPr id="1754236890" name="Picture 1" descr="A graph with blue and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36890" name="Picture 1" descr="A graph with blue and red lin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7003" cy="43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C5541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Another point to keep in mind is that public sector workers (government at state and local level) constitute a significantly higher proportion of union labor than their private sector counterparts (i.e., UAW, AFL-CIO, etc.)</w:t>
      </w:r>
    </w:p>
    <w:p w14:paraId="56EF6412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U.S. Department of Labor Bureau of Labor Statistics </w:t>
      </w:r>
      <w:r w:rsidRPr="00C24D1A">
        <w:rPr>
          <w:sz w:val="28"/>
          <w:szCs w:val="28"/>
        </w:rPr>
        <w:br/>
      </w:r>
      <w:hyperlink r:id="rId8" w:history="1">
        <w:r w:rsidRPr="00C24D1A">
          <w:rPr>
            <w:rStyle w:val="Hyperlink"/>
            <w:sz w:val="28"/>
            <w:szCs w:val="28"/>
          </w:rPr>
          <w:t>https://www.bls.gov/news.release/pdf/union2.pdf</w:t>
        </w:r>
      </w:hyperlink>
      <w:r w:rsidRPr="00C24D1A">
        <w:rPr>
          <w:sz w:val="28"/>
          <w:szCs w:val="28"/>
        </w:rPr>
        <w:t xml:space="preserve"> </w:t>
      </w:r>
    </w:p>
    <w:p w14:paraId="38DEEEFD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noProof/>
          <w:sz w:val="28"/>
          <w:szCs w:val="28"/>
        </w:rPr>
        <w:drawing>
          <wp:inline distT="0" distB="0" distL="0" distR="0" wp14:anchorId="3286C549" wp14:editId="774B403B">
            <wp:extent cx="5943600" cy="733425"/>
            <wp:effectExtent l="0" t="0" r="0" b="9525"/>
            <wp:docPr id="41068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87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41B1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Labor Update: 11-4-2023</w:t>
      </w:r>
    </w:p>
    <w:p w14:paraId="557BFEB6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Nov 3, </w:t>
      </w:r>
      <w:proofErr w:type="gramStart"/>
      <w:r w:rsidRPr="00C24D1A">
        <w:rPr>
          <w:sz w:val="28"/>
          <w:szCs w:val="28"/>
        </w:rPr>
        <w:t>2023</w:t>
      </w:r>
      <w:proofErr w:type="gramEnd"/>
      <w:r w:rsidRPr="00C24D1A">
        <w:rPr>
          <w:sz w:val="28"/>
          <w:szCs w:val="28"/>
        </w:rPr>
        <w:t xml:space="preserve"> Employment Situation Update</w:t>
      </w:r>
      <w:r w:rsidRPr="00C24D1A">
        <w:rPr>
          <w:sz w:val="28"/>
          <w:szCs w:val="28"/>
        </w:rPr>
        <w:br/>
      </w:r>
      <w:hyperlink r:id="rId10" w:history="1">
        <w:r w:rsidRPr="00C24D1A">
          <w:rPr>
            <w:rStyle w:val="Hyperlink"/>
            <w:sz w:val="28"/>
            <w:szCs w:val="28"/>
          </w:rPr>
          <w:t>https://www.bls.gov/news.release/archives/empsit_11032023.htm</w:t>
        </w:r>
      </w:hyperlink>
      <w:r w:rsidRPr="00C24D1A">
        <w:rPr>
          <w:sz w:val="28"/>
          <w:szCs w:val="28"/>
        </w:rPr>
        <w:t xml:space="preserve"> </w:t>
      </w:r>
      <w:r w:rsidRPr="00C24D1A">
        <w:rPr>
          <w:sz w:val="28"/>
          <w:szCs w:val="28"/>
        </w:rPr>
        <w:br/>
      </w:r>
      <w:r w:rsidRPr="00C24D1A">
        <w:rPr>
          <w:sz w:val="28"/>
          <w:szCs w:val="28"/>
        </w:rPr>
        <w:lastRenderedPageBreak/>
        <w:br/>
      </w:r>
    </w:p>
    <w:p w14:paraId="10E77D0A" w14:textId="77777777" w:rsidR="00805993" w:rsidRPr="00C24D1A" w:rsidRDefault="00805993" w:rsidP="00805993">
      <w:pPr>
        <w:rPr>
          <w:sz w:val="28"/>
          <w:szCs w:val="28"/>
        </w:rPr>
      </w:pPr>
    </w:p>
    <w:p w14:paraId="1BB491D9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noProof/>
          <w:sz w:val="28"/>
          <w:szCs w:val="28"/>
        </w:rPr>
        <w:drawing>
          <wp:inline distT="0" distB="0" distL="0" distR="0" wp14:anchorId="1CEC18EA" wp14:editId="288477B1">
            <wp:extent cx="5943600" cy="3404870"/>
            <wp:effectExtent l="0" t="0" r="0" b="5080"/>
            <wp:docPr id="1363983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E18F" w14:textId="77777777" w:rsidR="00805993" w:rsidRPr="00C24D1A" w:rsidRDefault="00805993" w:rsidP="00805993">
      <w:pPr>
        <w:rPr>
          <w:sz w:val="28"/>
          <w:szCs w:val="28"/>
        </w:rPr>
      </w:pPr>
    </w:p>
    <w:p w14:paraId="6F191FD6" w14:textId="77777777" w:rsidR="00805993" w:rsidRPr="00C24D1A" w:rsidRDefault="00805993" w:rsidP="00805993">
      <w:pPr>
        <w:rPr>
          <w:sz w:val="28"/>
          <w:szCs w:val="28"/>
        </w:rPr>
      </w:pPr>
    </w:p>
    <w:p w14:paraId="31E73C5F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Focus on Table A </w:t>
      </w:r>
      <w:r w:rsidRPr="00C24D1A">
        <w:rPr>
          <w:sz w:val="28"/>
          <w:szCs w:val="28"/>
        </w:rPr>
        <w:br/>
      </w:r>
      <w:r w:rsidRPr="00C24D1A">
        <w:rPr>
          <w:noProof/>
          <w:sz w:val="28"/>
          <w:szCs w:val="28"/>
        </w:rPr>
        <w:drawing>
          <wp:inline distT="0" distB="0" distL="0" distR="0" wp14:anchorId="7CF07AFE" wp14:editId="30AB5D3B">
            <wp:extent cx="5943600" cy="2082588"/>
            <wp:effectExtent l="0" t="0" r="0" b="0"/>
            <wp:docPr id="1039319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1939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4D1A">
        <w:rPr>
          <w:sz w:val="28"/>
          <w:szCs w:val="28"/>
        </w:rPr>
        <w:br/>
      </w:r>
      <w:r w:rsidRPr="00C24D1A">
        <w:rPr>
          <w:sz w:val="28"/>
          <w:szCs w:val="28"/>
        </w:rPr>
        <w:br/>
      </w:r>
      <w:r w:rsidRPr="00C24D1A">
        <w:rPr>
          <w:sz w:val="28"/>
          <w:szCs w:val="28"/>
        </w:rPr>
        <w:lastRenderedPageBreak/>
        <w:t xml:space="preserve">Specifically, you want to look at the far-right column to see the month over month changes.  </w:t>
      </w:r>
    </w:p>
    <w:p w14:paraId="0F03C415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I typically disregard the Unemployment Rate (this is the U3 or so-called official rate) and instead focus on the other rows.</w:t>
      </w:r>
    </w:p>
    <w:p w14:paraId="1E861C9E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If we see more net </w:t>
      </w:r>
      <w:r>
        <w:rPr>
          <w:sz w:val="28"/>
          <w:szCs w:val="28"/>
        </w:rPr>
        <w:t>labor force</w:t>
      </w:r>
      <w:r w:rsidRPr="00C24D1A">
        <w:rPr>
          <w:sz w:val="28"/>
          <w:szCs w:val="28"/>
        </w:rPr>
        <w:t xml:space="preserve"> increase, this bodes well, regardless of any change up or down in the Unemployment Rate</w:t>
      </w:r>
    </w:p>
    <w:p w14:paraId="1A049BB6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Example:</w:t>
      </w:r>
    </w:p>
    <w:p w14:paraId="3DD66571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b/>
          <w:bCs/>
          <w:sz w:val="28"/>
          <w:szCs w:val="28"/>
        </w:rPr>
        <w:t>Civilian Noninstitutional Population</w:t>
      </w:r>
      <w:r w:rsidRPr="00C24D1A">
        <w:rPr>
          <w:sz w:val="28"/>
          <w:szCs w:val="28"/>
        </w:rPr>
        <w:t xml:space="preserve"> = 16+ years of age not counted in institutions (military, prison, nursing homes, etc.)</w:t>
      </w:r>
      <w:r w:rsidRPr="00C24D1A">
        <w:rPr>
          <w:sz w:val="28"/>
          <w:szCs w:val="28"/>
        </w:rPr>
        <w:br/>
      </w:r>
      <w:r w:rsidRPr="00C24D1A">
        <w:rPr>
          <w:sz w:val="28"/>
          <w:szCs w:val="28"/>
        </w:rPr>
        <w:br/>
      </w:r>
      <w:r w:rsidRPr="00C24D1A">
        <w:rPr>
          <w:b/>
          <w:bCs/>
          <w:sz w:val="28"/>
          <w:szCs w:val="28"/>
        </w:rPr>
        <w:t>Civilian Labor Force increases (that’s a +)</w:t>
      </w:r>
      <w:r w:rsidRPr="00C24D1A">
        <w:rPr>
          <w:sz w:val="28"/>
          <w:szCs w:val="28"/>
        </w:rPr>
        <w:t xml:space="preserve"> Civilian Labor Force = Employed + Unemployed)</w:t>
      </w:r>
    </w:p>
    <w:p w14:paraId="64FE6F19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b/>
          <w:bCs/>
          <w:sz w:val="28"/>
          <w:szCs w:val="28"/>
        </w:rPr>
        <w:t>Labor Force Participation Rate (LFPR) increases (another +)</w:t>
      </w:r>
      <w:r w:rsidRPr="00C24D1A">
        <w:rPr>
          <w:sz w:val="28"/>
          <w:szCs w:val="28"/>
        </w:rPr>
        <w:t xml:space="preserve"> Civilian Labor Force / Civilian FYI -Noninstitutional Population</w:t>
      </w:r>
      <w:r w:rsidRPr="00C24D1A">
        <w:rPr>
          <w:sz w:val="28"/>
          <w:szCs w:val="28"/>
        </w:rPr>
        <w:br/>
      </w:r>
      <w:r w:rsidRPr="00C24D1A">
        <w:rPr>
          <w:sz w:val="28"/>
          <w:szCs w:val="28"/>
        </w:rPr>
        <w:br/>
        <w:t>[The Civilian Noninstitutional Population = those individuals 16+ years of age, not in military, prison, nursing homes, or otherwise institutionalized]</w:t>
      </w:r>
    </w:p>
    <w:p w14:paraId="0FF90420" w14:textId="77777777" w:rsidR="00805993" w:rsidRPr="00C24D1A" w:rsidRDefault="00805993" w:rsidP="00805993">
      <w:pPr>
        <w:rPr>
          <w:sz w:val="28"/>
          <w:szCs w:val="28"/>
        </w:rPr>
      </w:pPr>
    </w:p>
    <w:p w14:paraId="5F2004A2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b/>
          <w:bCs/>
          <w:sz w:val="28"/>
          <w:szCs w:val="28"/>
        </w:rPr>
        <w:t>Employed increases (that’s a plus)</w:t>
      </w:r>
      <w:r w:rsidRPr="00C24D1A">
        <w:rPr>
          <w:sz w:val="28"/>
          <w:szCs w:val="28"/>
        </w:rPr>
        <w:t xml:space="preserve"> --- this number is from the Current Population Survey or CPS and is a survey performed by the Census Bureau for the Bureau of Labor Statistics (relatively small sample size on the order of 50k, where random households are contacted and asked a series of questions.</w:t>
      </w:r>
    </w:p>
    <w:p w14:paraId="6A5E9FDA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How many individuals are in your household?</w:t>
      </w:r>
    </w:p>
    <w:p w14:paraId="4B2768B4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How many of them are 16+ years of age or older (can any members of your household be counted as institutionalized? (Military, prison, etc.)?</w:t>
      </w:r>
    </w:p>
    <w:p w14:paraId="41E89A8E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How many of the 16+ year olds are currently employed?</w:t>
      </w:r>
    </w:p>
    <w:p w14:paraId="137E1946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How many are not employed, but actively seeking employment? </w:t>
      </w:r>
    </w:p>
    <w:p w14:paraId="679C442E" w14:textId="77777777" w:rsidR="00805993" w:rsidRPr="00C24D1A" w:rsidRDefault="00805993" w:rsidP="00805993">
      <w:pPr>
        <w:rPr>
          <w:b/>
          <w:bCs/>
          <w:sz w:val="28"/>
          <w:szCs w:val="28"/>
        </w:rPr>
      </w:pPr>
    </w:p>
    <w:p w14:paraId="70F089ED" w14:textId="77777777" w:rsidR="00805993" w:rsidRPr="00C24D1A" w:rsidRDefault="00805993" w:rsidP="00805993">
      <w:pPr>
        <w:rPr>
          <w:b/>
          <w:bCs/>
          <w:sz w:val="28"/>
          <w:szCs w:val="28"/>
        </w:rPr>
      </w:pPr>
      <w:r w:rsidRPr="00C24D1A">
        <w:rPr>
          <w:b/>
          <w:bCs/>
          <w:sz w:val="28"/>
          <w:szCs w:val="28"/>
        </w:rPr>
        <w:lastRenderedPageBreak/>
        <w:t>Unemployed (+ or -)</w:t>
      </w:r>
    </w:p>
    <w:p w14:paraId="56E8348B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If the unemployed number rises, and those folks </w:t>
      </w:r>
      <w:proofErr w:type="gramStart"/>
      <w:r w:rsidRPr="00C24D1A">
        <w:rPr>
          <w:sz w:val="28"/>
          <w:szCs w:val="28"/>
        </w:rPr>
        <w:t>frictionally</w:t>
      </w:r>
      <w:proofErr w:type="gramEnd"/>
      <w:r w:rsidRPr="00C24D1A">
        <w:rPr>
          <w:sz w:val="28"/>
          <w:szCs w:val="28"/>
        </w:rPr>
        <w:t xml:space="preserve"> unemployed (between jobs, but not for long), then it’s not a bad thing at all.  In this case the unemployed status acts as a way station between the ‘Not in the Labor Force’ category and being employed.  The reality is that there are still nearly a 10 million unfilled jobs </w:t>
      </w:r>
      <w:proofErr w:type="gramStart"/>
      <w:r w:rsidRPr="00C24D1A">
        <w:rPr>
          <w:sz w:val="28"/>
          <w:szCs w:val="28"/>
        </w:rPr>
        <w:t>at the moment</w:t>
      </w:r>
      <w:proofErr w:type="gramEnd"/>
      <w:r w:rsidRPr="00C24D1A">
        <w:rPr>
          <w:sz w:val="28"/>
          <w:szCs w:val="28"/>
        </w:rPr>
        <w:t>.</w:t>
      </w:r>
      <w:r w:rsidRPr="00C24D1A">
        <w:rPr>
          <w:sz w:val="28"/>
          <w:szCs w:val="28"/>
        </w:rPr>
        <w:br/>
      </w:r>
      <w:r w:rsidRPr="00C24D1A">
        <w:rPr>
          <w:sz w:val="28"/>
          <w:szCs w:val="28"/>
        </w:rPr>
        <w:br/>
      </w:r>
      <w:hyperlink r:id="rId13" w:history="1">
        <w:r w:rsidRPr="00C24D1A">
          <w:rPr>
            <w:rStyle w:val="Hyperlink"/>
            <w:sz w:val="28"/>
            <w:szCs w:val="28"/>
          </w:rPr>
          <w:t>https://www.bls.gov/news.release/jolts.nr0.htm</w:t>
        </w:r>
      </w:hyperlink>
      <w:r w:rsidRPr="00C24D1A">
        <w:rPr>
          <w:sz w:val="28"/>
          <w:szCs w:val="28"/>
        </w:rPr>
        <w:t xml:space="preserve"> </w:t>
      </w:r>
    </w:p>
    <w:p w14:paraId="2534A49F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JOB OPENINGS AND LABOR TURNOVER – SEPTEMBER 2023</w:t>
      </w:r>
    </w:p>
    <w:p w14:paraId="6F9C1F5B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The number of job openings changed little at 9.6 million on the last business day of September, the U.S. Bureau of Labor Statistics reported today. </w:t>
      </w:r>
    </w:p>
    <w:p w14:paraId="536BDDB8" w14:textId="77777777" w:rsidR="00805993" w:rsidRPr="00C24D1A" w:rsidRDefault="00805993" w:rsidP="00805993">
      <w:pPr>
        <w:rPr>
          <w:b/>
          <w:bCs/>
          <w:sz w:val="28"/>
          <w:szCs w:val="28"/>
        </w:rPr>
      </w:pPr>
    </w:p>
    <w:p w14:paraId="6C25B8D4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b/>
          <w:bCs/>
          <w:sz w:val="28"/>
          <w:szCs w:val="28"/>
        </w:rPr>
        <w:t>Unemployment Rate</w:t>
      </w:r>
      <w:r w:rsidRPr="00C24D1A">
        <w:rPr>
          <w:sz w:val="28"/>
          <w:szCs w:val="28"/>
        </w:rPr>
        <w:t xml:space="preserve"> (U3) 1) not employed; 2) actively seeking employment (+ or -)</w:t>
      </w:r>
    </w:p>
    <w:p w14:paraId="7E3086D0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If rate goes up due to more people re-entering the labor force, that’s a good thing…</w:t>
      </w:r>
    </w:p>
    <w:p w14:paraId="26B0C5B0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If </w:t>
      </w:r>
      <w:proofErr w:type="gramStart"/>
      <w:r w:rsidRPr="00C24D1A">
        <w:rPr>
          <w:sz w:val="28"/>
          <w:szCs w:val="28"/>
        </w:rPr>
        <w:t>rate</w:t>
      </w:r>
      <w:proofErr w:type="gramEnd"/>
      <w:r w:rsidRPr="00C24D1A">
        <w:rPr>
          <w:sz w:val="28"/>
          <w:szCs w:val="28"/>
        </w:rPr>
        <w:t xml:space="preserve"> goes down due to more people exiting the labor force, not a good thing</w:t>
      </w:r>
      <w:r>
        <w:rPr>
          <w:sz w:val="28"/>
          <w:szCs w:val="28"/>
        </w:rPr>
        <w:t>.</w:t>
      </w:r>
    </w:p>
    <w:p w14:paraId="669CA89B" w14:textId="77777777" w:rsidR="00805993" w:rsidRPr="00C24D1A" w:rsidRDefault="00805993" w:rsidP="00805993">
      <w:pPr>
        <w:rPr>
          <w:sz w:val="28"/>
          <w:szCs w:val="28"/>
        </w:rPr>
      </w:pPr>
    </w:p>
    <w:p w14:paraId="22FD40F1" w14:textId="77777777" w:rsidR="00805993" w:rsidRPr="00C24D1A" w:rsidRDefault="00805993" w:rsidP="00805993">
      <w:pPr>
        <w:rPr>
          <w:b/>
          <w:bCs/>
          <w:sz w:val="28"/>
          <w:szCs w:val="28"/>
        </w:rPr>
      </w:pPr>
      <w:r w:rsidRPr="00C24D1A">
        <w:rPr>
          <w:b/>
          <w:bCs/>
          <w:sz w:val="28"/>
          <w:szCs w:val="28"/>
        </w:rPr>
        <w:t>Not in the Labor Force (+ bad / - good)</w:t>
      </w:r>
    </w:p>
    <w:p w14:paraId="68B10FFA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This represents those people (16+ and not counted in institutions) no longer participating in the labor force (neither employed, nor unemployed seeking employment)</w:t>
      </w:r>
    </w:p>
    <w:p w14:paraId="6BBECD06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>There is more to the labor report of course including the type (quality) of jobs, full-time employment, etc., but this is a relatively easy way to determine what constitutes a good or bad Employment Situation Report.</w:t>
      </w:r>
    </w:p>
    <w:p w14:paraId="11CC4BE7" w14:textId="77777777" w:rsidR="00805993" w:rsidRPr="00C24D1A" w:rsidRDefault="00805993" w:rsidP="00805993">
      <w:pPr>
        <w:rPr>
          <w:sz w:val="28"/>
          <w:szCs w:val="28"/>
        </w:rPr>
      </w:pPr>
    </w:p>
    <w:p w14:paraId="6588A5F9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lastRenderedPageBreak/>
        <w:t>The takeaway?</w:t>
      </w:r>
      <w:r w:rsidRPr="00C24D1A">
        <w:rPr>
          <w:sz w:val="28"/>
          <w:szCs w:val="28"/>
        </w:rPr>
        <w:br/>
      </w:r>
      <w:r w:rsidRPr="00C24D1A">
        <w:rPr>
          <w:sz w:val="28"/>
          <w:szCs w:val="28"/>
        </w:rPr>
        <w:br/>
        <w:t xml:space="preserve">No surprise, the FED views this as a sign that its monetary policy of driving up the target Fed Funds Rate as working according to plan.  </w:t>
      </w:r>
    </w:p>
    <w:p w14:paraId="46541F1E" w14:textId="77777777" w:rsidR="00805993" w:rsidRPr="00C24D1A" w:rsidRDefault="00805993" w:rsidP="00805993">
      <w:pPr>
        <w:rPr>
          <w:sz w:val="28"/>
          <w:szCs w:val="28"/>
        </w:rPr>
      </w:pPr>
    </w:p>
    <w:p w14:paraId="243A9DB0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noProof/>
          <w:sz w:val="28"/>
          <w:szCs w:val="28"/>
        </w:rPr>
        <w:drawing>
          <wp:inline distT="0" distB="0" distL="0" distR="0" wp14:anchorId="39247D1F" wp14:editId="47E0DC30">
            <wp:extent cx="5908612" cy="4286250"/>
            <wp:effectExtent l="0" t="0" r="0" b="0"/>
            <wp:docPr id="370101315" name="Picture 2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01315" name="Picture 2" descr="A graph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645" cy="4297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02FF7" w14:textId="77777777" w:rsidR="00805993" w:rsidRPr="00C24D1A" w:rsidRDefault="00805993" w:rsidP="00805993">
      <w:pPr>
        <w:rPr>
          <w:sz w:val="28"/>
          <w:szCs w:val="28"/>
        </w:rPr>
      </w:pPr>
      <w:r w:rsidRPr="00C24D1A">
        <w:rPr>
          <w:sz w:val="28"/>
          <w:szCs w:val="28"/>
        </w:rPr>
        <w:t xml:space="preserve">The latest Employment Situation Report is very troubling to me because it indicates a large increase in folks moving out of the labor force to the tune of 416,000.  In fact, </w:t>
      </w:r>
      <w:proofErr w:type="gramStart"/>
      <w:r w:rsidRPr="00C24D1A">
        <w:rPr>
          <w:sz w:val="28"/>
          <w:szCs w:val="28"/>
        </w:rPr>
        <w:t>all of</w:t>
      </w:r>
      <w:proofErr w:type="gramEnd"/>
      <w:r w:rsidRPr="00C24D1A">
        <w:rPr>
          <w:sz w:val="28"/>
          <w:szCs w:val="28"/>
        </w:rPr>
        <w:t xml:space="preserve"> the movement, month over month, is in the wrong direction (except for the normal monthly uptick in the Noninstitutional Population).  The FED will like this data, but I would much rather see more bodies moving back into the labor force.  </w:t>
      </w:r>
    </w:p>
    <w:p w14:paraId="6AF68BBA" w14:textId="77777777" w:rsidR="00F86E3E" w:rsidRPr="00C24D1A" w:rsidRDefault="00F86E3E" w:rsidP="00F86E3E">
      <w:pPr>
        <w:rPr>
          <w:sz w:val="28"/>
          <w:szCs w:val="28"/>
        </w:rPr>
      </w:pPr>
      <w:r w:rsidRPr="00C24D1A">
        <w:rPr>
          <w:sz w:val="28"/>
          <w:szCs w:val="28"/>
        </w:rPr>
        <w:t>The bottom line is that the FED will watch for the Consumer Price Index (CPI)</w:t>
      </w:r>
      <w:r>
        <w:rPr>
          <w:sz w:val="28"/>
          <w:szCs w:val="28"/>
        </w:rPr>
        <w:t xml:space="preserve">, Personal Consumption Expenditure (PCE) Price Index, </w:t>
      </w:r>
      <w:r w:rsidRPr="00C24D1A">
        <w:rPr>
          <w:sz w:val="28"/>
          <w:szCs w:val="28"/>
        </w:rPr>
        <w:t xml:space="preserve">and the Producer Price </w:t>
      </w:r>
      <w:r w:rsidRPr="00C24D1A">
        <w:rPr>
          <w:sz w:val="28"/>
          <w:szCs w:val="28"/>
        </w:rPr>
        <w:lastRenderedPageBreak/>
        <w:t>Index (PPI) data coming out in a couple of weeks.  If the CPI</w:t>
      </w:r>
      <w:r>
        <w:rPr>
          <w:sz w:val="28"/>
          <w:szCs w:val="28"/>
        </w:rPr>
        <w:t xml:space="preserve"> (and PCE)</w:t>
      </w:r>
      <w:r w:rsidRPr="00C24D1A">
        <w:rPr>
          <w:sz w:val="28"/>
          <w:szCs w:val="28"/>
        </w:rPr>
        <w:t xml:space="preserve">, </w:t>
      </w:r>
      <w:proofErr w:type="gramStart"/>
      <w:r w:rsidRPr="00C24D1A">
        <w:rPr>
          <w:sz w:val="28"/>
          <w:szCs w:val="28"/>
        </w:rPr>
        <w:t>in particular moderates</w:t>
      </w:r>
      <w:proofErr w:type="gramEnd"/>
      <w:r w:rsidRPr="00C24D1A">
        <w:rPr>
          <w:sz w:val="28"/>
          <w:szCs w:val="28"/>
        </w:rPr>
        <w:t xml:space="preserve"> a bit, the FED should not opt to raise rates in its December FOMC meeting and should, in my view, start scaling back, to avoid recession…but what do I know.</w:t>
      </w:r>
    </w:p>
    <w:p w14:paraId="0F5B3F02" w14:textId="77777777" w:rsidR="00F86E3E" w:rsidRDefault="00F86E3E" w:rsidP="00F86E3E">
      <w:r w:rsidRPr="00C24D1A">
        <w:rPr>
          <w:sz w:val="28"/>
          <w:szCs w:val="28"/>
        </w:rPr>
        <w:t>Again, more to follow…</w:t>
      </w:r>
    </w:p>
    <w:p w14:paraId="034F3E78" w14:textId="77777777" w:rsidR="00805993" w:rsidRDefault="00805993" w:rsidP="00805993"/>
    <w:p w14:paraId="41687473" w14:textId="77777777" w:rsidR="00D54157" w:rsidRPr="00834DB3" w:rsidRDefault="00D54157" w:rsidP="00805993">
      <w:pPr>
        <w:rPr>
          <w:rFonts w:ascii="Arial" w:hAnsi="Arial" w:cs="Arial"/>
          <w:sz w:val="24"/>
          <w:szCs w:val="24"/>
        </w:rPr>
      </w:pPr>
    </w:p>
    <w:sectPr w:rsidR="00D54157" w:rsidRPr="00834DB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1527" w14:textId="77777777" w:rsidR="005E7128" w:rsidRDefault="005E7128" w:rsidP="00E52AA5">
      <w:pPr>
        <w:spacing w:after="0" w:line="240" w:lineRule="auto"/>
      </w:pPr>
      <w:r>
        <w:separator/>
      </w:r>
    </w:p>
  </w:endnote>
  <w:endnote w:type="continuationSeparator" w:id="0">
    <w:p w14:paraId="536B2DA8" w14:textId="77777777" w:rsidR="005E7128" w:rsidRDefault="005E7128" w:rsidP="00E5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41449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E1CD2" w14:textId="5AAED638" w:rsidR="00E52AA5" w:rsidRPr="00C367C9" w:rsidRDefault="00E52AA5" w:rsidP="00E52AA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367C9">
          <w:rPr>
            <w:rFonts w:ascii="Arial" w:hAnsi="Arial" w:cs="Arial"/>
            <w:sz w:val="24"/>
            <w:szCs w:val="24"/>
          </w:rPr>
          <w:t>New Economic Paradigm Associates</w:t>
        </w:r>
      </w:p>
      <w:p w14:paraId="24F481F4" w14:textId="77777777" w:rsidR="00E52AA5" w:rsidRPr="00C367C9" w:rsidRDefault="00E52AA5" w:rsidP="00E52AA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367C9">
          <w:rPr>
            <w:rFonts w:ascii="Arial" w:hAnsi="Arial" w:cs="Arial"/>
            <w:sz w:val="24"/>
            <w:szCs w:val="24"/>
          </w:rPr>
          <w:t>©Copyright All Rights Reserved 20</w:t>
        </w:r>
        <w:r>
          <w:rPr>
            <w:rFonts w:ascii="Arial" w:hAnsi="Arial" w:cs="Arial"/>
            <w:sz w:val="24"/>
            <w:szCs w:val="24"/>
          </w:rPr>
          <w:t>23</w:t>
        </w:r>
      </w:p>
      <w:p w14:paraId="532A2310" w14:textId="77777777" w:rsidR="00E52AA5" w:rsidRPr="00C367C9" w:rsidRDefault="00E52AA5" w:rsidP="00E52AA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367C9">
          <w:rPr>
            <w:rFonts w:ascii="Arial" w:hAnsi="Arial" w:cs="Arial"/>
            <w:sz w:val="24"/>
            <w:szCs w:val="24"/>
          </w:rPr>
          <w:t xml:space="preserve">On the Web at </w:t>
        </w:r>
        <w:hyperlink r:id="rId1" w:history="1">
          <w:r w:rsidRPr="00985A0A">
            <w:rPr>
              <w:rStyle w:val="Hyperlink"/>
              <w:rFonts w:ascii="Arial" w:hAnsi="Arial" w:cs="Arial"/>
              <w:sz w:val="24"/>
              <w:szCs w:val="24"/>
            </w:rPr>
            <w:t>http://www.econnewsletter.com/</w:t>
          </w:r>
        </w:hyperlink>
        <w:r>
          <w:rPr>
            <w:rFonts w:ascii="Arial" w:hAnsi="Arial" w:cs="Arial"/>
            <w:sz w:val="24"/>
            <w:szCs w:val="24"/>
          </w:rPr>
          <w:t xml:space="preserve"> </w:t>
        </w:r>
      </w:p>
      <w:p w14:paraId="12900A36" w14:textId="77777777" w:rsidR="00E52AA5" w:rsidRPr="003A0A35" w:rsidRDefault="00E52AA5" w:rsidP="00E52AA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367C9">
          <w:rPr>
            <w:rFonts w:ascii="Arial" w:hAnsi="Arial" w:cs="Arial"/>
            <w:sz w:val="24"/>
            <w:szCs w:val="24"/>
          </w:rPr>
          <w:fldChar w:fldCharType="begin"/>
        </w:r>
        <w:r w:rsidRPr="00C367C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367C9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sz w:val="24"/>
            <w:szCs w:val="24"/>
          </w:rPr>
          <w:t>1</w:t>
        </w:r>
        <w:r w:rsidRPr="00C367C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AD3EBAD" w14:textId="210F153F" w:rsidR="00E52AA5" w:rsidRDefault="00E52AA5" w:rsidP="00E52A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8D00" w14:textId="77777777" w:rsidR="005E7128" w:rsidRDefault="005E7128" w:rsidP="00E52AA5">
      <w:pPr>
        <w:spacing w:after="0" w:line="240" w:lineRule="auto"/>
      </w:pPr>
      <w:r>
        <w:separator/>
      </w:r>
    </w:p>
  </w:footnote>
  <w:footnote w:type="continuationSeparator" w:id="0">
    <w:p w14:paraId="78B1BD45" w14:textId="77777777" w:rsidR="005E7128" w:rsidRDefault="005E7128" w:rsidP="00E52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57"/>
    <w:rsid w:val="00067DE4"/>
    <w:rsid w:val="0009193F"/>
    <w:rsid w:val="00096E66"/>
    <w:rsid w:val="000F3EC0"/>
    <w:rsid w:val="001431AB"/>
    <w:rsid w:val="00180B20"/>
    <w:rsid w:val="00216E9C"/>
    <w:rsid w:val="00285985"/>
    <w:rsid w:val="00285B8C"/>
    <w:rsid w:val="002B44EB"/>
    <w:rsid w:val="002D0AE8"/>
    <w:rsid w:val="00387EAA"/>
    <w:rsid w:val="003922ED"/>
    <w:rsid w:val="00436AB4"/>
    <w:rsid w:val="004452AE"/>
    <w:rsid w:val="00455FB9"/>
    <w:rsid w:val="0049134A"/>
    <w:rsid w:val="004F3CEA"/>
    <w:rsid w:val="004F4579"/>
    <w:rsid w:val="005919A5"/>
    <w:rsid w:val="005E7128"/>
    <w:rsid w:val="006152A5"/>
    <w:rsid w:val="00627B96"/>
    <w:rsid w:val="006452DA"/>
    <w:rsid w:val="00685557"/>
    <w:rsid w:val="006E34C2"/>
    <w:rsid w:val="007528D6"/>
    <w:rsid w:val="00757729"/>
    <w:rsid w:val="00790C8C"/>
    <w:rsid w:val="007D65DA"/>
    <w:rsid w:val="00805993"/>
    <w:rsid w:val="00834DB3"/>
    <w:rsid w:val="008C73A8"/>
    <w:rsid w:val="00927CD4"/>
    <w:rsid w:val="0097222C"/>
    <w:rsid w:val="00992DA6"/>
    <w:rsid w:val="009F39F2"/>
    <w:rsid w:val="00A33A53"/>
    <w:rsid w:val="00A53518"/>
    <w:rsid w:val="00AD2B99"/>
    <w:rsid w:val="00B13C57"/>
    <w:rsid w:val="00C838F1"/>
    <w:rsid w:val="00C9606B"/>
    <w:rsid w:val="00D54157"/>
    <w:rsid w:val="00D564FA"/>
    <w:rsid w:val="00D75C13"/>
    <w:rsid w:val="00D910AB"/>
    <w:rsid w:val="00DA3D63"/>
    <w:rsid w:val="00DD3409"/>
    <w:rsid w:val="00DD6332"/>
    <w:rsid w:val="00E014E2"/>
    <w:rsid w:val="00E52AA5"/>
    <w:rsid w:val="00E551BC"/>
    <w:rsid w:val="00E633EB"/>
    <w:rsid w:val="00E82BE8"/>
    <w:rsid w:val="00ED28B4"/>
    <w:rsid w:val="00F86E3E"/>
    <w:rsid w:val="00F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4999"/>
  <w15:chartTrackingRefBased/>
  <w15:docId w15:val="{330FB4B9-43F1-4CBC-986A-FA201098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5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2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A5"/>
  </w:style>
  <w:style w:type="paragraph" w:styleId="Footer">
    <w:name w:val="footer"/>
    <w:basedOn w:val="Normal"/>
    <w:link w:val="FooterChar"/>
    <w:uiPriority w:val="99"/>
    <w:unhideWhenUsed/>
    <w:rsid w:val="00E52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pdf/union2.pdf" TargetMode="External"/><Relationship Id="rId13" Type="http://schemas.openxmlformats.org/officeDocument/2006/relationships/hyperlink" Target="https://www.bls.gov/news.release/jolts.nr0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s.gov/opub/ted/2023/union-membership-rate-fell-by-0-2-percentage-point-to-10-1-percent-in-2022.htm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bls.gov/news.release/archives/empsit_11032023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nnewslet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Michigan College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ederbin</dc:creator>
  <cp:keywords/>
  <dc:description/>
  <cp:lastModifiedBy>ederbin</cp:lastModifiedBy>
  <cp:revision>4</cp:revision>
  <cp:lastPrinted>2023-11-04T15:01:00Z</cp:lastPrinted>
  <dcterms:created xsi:type="dcterms:W3CDTF">2023-11-04T16:51:00Z</dcterms:created>
  <dcterms:modified xsi:type="dcterms:W3CDTF">2023-11-08T19:58:00Z</dcterms:modified>
</cp:coreProperties>
</file>